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688D" w14:textId="77777777" w:rsidR="00D9593E" w:rsidRPr="000E2563" w:rsidRDefault="00D9593E" w:rsidP="00D9593E">
      <w:pPr>
        <w:spacing w:line="360" w:lineRule="auto"/>
        <w:ind w:firstLineChars="190" w:firstLine="456"/>
        <w:rPr>
          <w:rFonts w:ascii="仿宋_GB2312" w:eastAsia="仿宋_GB2312" w:hAnsi="宋体"/>
          <w:bCs/>
          <w:kern w:val="0"/>
          <w:sz w:val="24"/>
          <w:szCs w:val="24"/>
        </w:rPr>
      </w:pPr>
      <w:r w:rsidRPr="000E2563">
        <w:rPr>
          <w:rFonts w:ascii="仿宋_GB2312" w:eastAsia="仿宋_GB2312" w:hAnsi="宋体" w:hint="eastAsia"/>
          <w:bCs/>
          <w:kern w:val="0"/>
          <w:sz w:val="24"/>
          <w:szCs w:val="24"/>
        </w:rPr>
        <w:t>附件1：</w:t>
      </w:r>
    </w:p>
    <w:p w14:paraId="6384BA5E" w14:textId="77777777" w:rsidR="00D9593E" w:rsidRPr="000E2563" w:rsidRDefault="00D9593E" w:rsidP="00D9593E">
      <w:pPr>
        <w:rPr>
          <w:sz w:val="24"/>
          <w:szCs w:val="24"/>
        </w:rPr>
      </w:pPr>
    </w:p>
    <w:p w14:paraId="75EE9D7C" w14:textId="77777777" w:rsidR="00D9593E" w:rsidRPr="000E2563" w:rsidRDefault="00D9593E" w:rsidP="00D9593E">
      <w:pPr>
        <w:jc w:val="center"/>
        <w:rPr>
          <w:rFonts w:ascii="黑体" w:eastAsia="黑体" w:hAnsi="黑体"/>
          <w:sz w:val="32"/>
          <w:szCs w:val="32"/>
        </w:rPr>
      </w:pPr>
      <w:r w:rsidRPr="000E2563">
        <w:rPr>
          <w:rFonts w:ascii="黑体" w:eastAsia="黑体" w:hAnsi="黑体" w:hint="eastAsia"/>
          <w:sz w:val="32"/>
          <w:szCs w:val="32"/>
        </w:rPr>
        <w:t>202</w:t>
      </w:r>
      <w:r w:rsidRPr="000E2563">
        <w:rPr>
          <w:rFonts w:ascii="黑体" w:eastAsia="黑体" w:hAnsi="黑体"/>
          <w:sz w:val="32"/>
          <w:szCs w:val="32"/>
        </w:rPr>
        <w:t>2</w:t>
      </w:r>
      <w:r w:rsidRPr="000E2563">
        <w:rPr>
          <w:rFonts w:ascii="黑体" w:eastAsia="黑体" w:hAnsi="黑体" w:hint="eastAsia"/>
          <w:sz w:val="32"/>
          <w:szCs w:val="32"/>
        </w:rPr>
        <w:t>年度浙江省哲学社会科学重点研究基地</w:t>
      </w:r>
    </w:p>
    <w:p w14:paraId="5E1C891E" w14:textId="3BC8FBBB" w:rsidR="00D9593E" w:rsidRDefault="00D9593E" w:rsidP="00D9593E">
      <w:pPr>
        <w:jc w:val="center"/>
        <w:rPr>
          <w:rFonts w:ascii="黑体" w:eastAsia="黑体" w:hAnsi="黑体"/>
          <w:sz w:val="32"/>
          <w:szCs w:val="32"/>
        </w:rPr>
      </w:pPr>
      <w:r w:rsidRPr="000E2563">
        <w:rPr>
          <w:rFonts w:ascii="黑体" w:eastAsia="黑体" w:hAnsi="黑体" w:hint="eastAsia"/>
          <w:sz w:val="32"/>
          <w:szCs w:val="32"/>
        </w:rPr>
        <w:t>浙江工商大学东亚研究院课题申报指南</w:t>
      </w:r>
    </w:p>
    <w:p w14:paraId="286E0F73" w14:textId="77777777" w:rsidR="00232DFF" w:rsidRPr="000E2563" w:rsidRDefault="00232DFF" w:rsidP="00D9593E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180BCFD8" w14:textId="77777777" w:rsidR="00232DFF" w:rsidRPr="00232DFF" w:rsidRDefault="00232DFF" w:rsidP="00232DFF">
      <w:pPr>
        <w:spacing w:line="360" w:lineRule="auto"/>
        <w:ind w:firstLineChars="190" w:firstLine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1、东西文化交汇视域下的东亚哲学思想研究</w:t>
      </w:r>
    </w:p>
    <w:p w14:paraId="183148B2" w14:textId="77777777" w:rsidR="00232DFF" w:rsidRPr="00232DFF" w:rsidRDefault="00232DFF" w:rsidP="00232DFF">
      <w:pPr>
        <w:spacing w:line="360" w:lineRule="auto"/>
        <w:ind w:firstLineChars="190" w:firstLine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2、</w:t>
      </w:r>
      <w:r w:rsidRPr="00232DFF">
        <w:rPr>
          <w:rFonts w:ascii="仿宋" w:eastAsia="仿宋" w:hAnsi="仿宋" w:hint="eastAsia"/>
          <w:sz w:val="24"/>
          <w:szCs w:val="24"/>
        </w:rPr>
        <w:t>文明</w:t>
      </w:r>
      <w:proofErr w:type="gramStart"/>
      <w:r w:rsidRPr="00232DFF">
        <w:rPr>
          <w:rFonts w:ascii="仿宋" w:eastAsia="仿宋" w:hAnsi="仿宋" w:hint="eastAsia"/>
          <w:sz w:val="24"/>
          <w:szCs w:val="24"/>
        </w:rPr>
        <w:t>交流互鉴视域</w:t>
      </w:r>
      <w:proofErr w:type="gramEnd"/>
      <w:r w:rsidRPr="00232DFF">
        <w:rPr>
          <w:rFonts w:ascii="仿宋" w:eastAsia="仿宋" w:hAnsi="仿宋" w:hint="eastAsia"/>
          <w:sz w:val="24"/>
          <w:szCs w:val="24"/>
        </w:rPr>
        <w:t>下的</w:t>
      </w: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东亚佛教文化研究</w:t>
      </w:r>
    </w:p>
    <w:p w14:paraId="35BE831F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3、东亚文化交流史研究</w:t>
      </w:r>
    </w:p>
    <w:p w14:paraId="68B9076A" w14:textId="77777777" w:rsidR="00232DFF" w:rsidRPr="00232DFF" w:rsidRDefault="00232DFF" w:rsidP="00232DFF">
      <w:pPr>
        <w:spacing w:line="360" w:lineRule="auto"/>
        <w:ind w:firstLineChars="190" w:firstLine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4、古代东亚国家政治典籍比较研究</w:t>
      </w:r>
    </w:p>
    <w:p w14:paraId="1D5E4E78" w14:textId="77777777" w:rsidR="00232DFF" w:rsidRPr="00232DFF" w:rsidRDefault="00232DFF" w:rsidP="00232DFF">
      <w:pPr>
        <w:spacing w:line="360" w:lineRule="auto"/>
        <w:ind w:firstLineChars="190" w:firstLine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5、东亚疫病史研究</w:t>
      </w:r>
    </w:p>
    <w:p w14:paraId="45F506B8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6、东亚各国商业文化的历史考察与比较研究</w:t>
      </w:r>
    </w:p>
    <w:p w14:paraId="640F925D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7、东亚各国神话传说与民间信仰的研究与比较</w:t>
      </w:r>
    </w:p>
    <w:p w14:paraId="446EEB9A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8、东亚话语体系研究</w:t>
      </w:r>
    </w:p>
    <w:p w14:paraId="6E514969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9、东亚礼学研究</w:t>
      </w:r>
    </w:p>
    <w:p w14:paraId="3F7A3283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10、东亚各国历代社会治理研究</w:t>
      </w:r>
    </w:p>
    <w:p w14:paraId="4DF09EAF" w14:textId="77777777" w:rsidR="00232DFF" w:rsidRPr="00232DFF" w:rsidRDefault="00232DFF" w:rsidP="00232DFF">
      <w:pPr>
        <w:spacing w:line="360" w:lineRule="auto"/>
        <w:ind w:firstLineChars="200" w:firstLine="480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11、现代中日韩产业合作研究</w:t>
      </w:r>
    </w:p>
    <w:p w14:paraId="23048A46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12、东亚国际关系研究</w:t>
      </w:r>
    </w:p>
    <w:p w14:paraId="00396C16" w14:textId="77777777" w:rsidR="00232DFF" w:rsidRPr="00232DFF" w:rsidRDefault="00232DFF" w:rsidP="00232DFF">
      <w:pPr>
        <w:spacing w:line="360" w:lineRule="auto"/>
        <w:ind w:left="456"/>
        <w:rPr>
          <w:rFonts w:ascii="仿宋" w:eastAsia="仿宋" w:hAnsi="仿宋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13、当代</w:t>
      </w:r>
      <w:r w:rsidRPr="00232DFF">
        <w:rPr>
          <w:rFonts w:ascii="仿宋" w:eastAsia="仿宋" w:hAnsi="仿宋" w:hint="eastAsia"/>
          <w:sz w:val="24"/>
          <w:szCs w:val="24"/>
        </w:rPr>
        <w:t>东亚命运共同体建构研究</w:t>
      </w:r>
    </w:p>
    <w:p w14:paraId="35F43480" w14:textId="77777777" w:rsidR="00232DFF" w:rsidRPr="00232DFF" w:rsidRDefault="00232DFF" w:rsidP="00232DFF">
      <w:pPr>
        <w:spacing w:line="360" w:lineRule="auto"/>
        <w:ind w:firstLineChars="190" w:firstLine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sz w:val="24"/>
          <w:szCs w:val="24"/>
        </w:rPr>
        <w:t>14、文明</w:t>
      </w:r>
      <w:proofErr w:type="gramStart"/>
      <w:r w:rsidRPr="00232DFF">
        <w:rPr>
          <w:rFonts w:ascii="仿宋" w:eastAsia="仿宋" w:hAnsi="仿宋" w:hint="eastAsia"/>
          <w:sz w:val="24"/>
          <w:szCs w:val="24"/>
        </w:rPr>
        <w:t>交流互鉴视域</w:t>
      </w:r>
      <w:proofErr w:type="gramEnd"/>
      <w:r w:rsidRPr="00232DFF">
        <w:rPr>
          <w:rFonts w:ascii="仿宋" w:eastAsia="仿宋" w:hAnsi="仿宋" w:hint="eastAsia"/>
          <w:sz w:val="24"/>
          <w:szCs w:val="24"/>
        </w:rPr>
        <w:t>下的浙江暨江南</w:t>
      </w: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文化研究</w:t>
      </w:r>
    </w:p>
    <w:p w14:paraId="748EE84B" w14:textId="77777777" w:rsidR="00232DFF" w:rsidRPr="00232DFF" w:rsidRDefault="00232DFF" w:rsidP="00232DFF">
      <w:pPr>
        <w:spacing w:line="360" w:lineRule="auto"/>
        <w:ind w:firstLineChars="190" w:firstLine="456"/>
        <w:rPr>
          <w:rFonts w:ascii="仿宋" w:eastAsia="仿宋" w:hAnsi="仿宋"/>
          <w:bCs/>
          <w:kern w:val="0"/>
          <w:sz w:val="24"/>
          <w:szCs w:val="24"/>
        </w:rPr>
      </w:pP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1</w:t>
      </w:r>
      <w:r w:rsidRPr="00232DFF">
        <w:rPr>
          <w:rFonts w:ascii="仿宋" w:eastAsia="仿宋" w:hAnsi="仿宋"/>
          <w:bCs/>
          <w:kern w:val="0"/>
          <w:sz w:val="24"/>
          <w:szCs w:val="24"/>
        </w:rPr>
        <w:t>5</w:t>
      </w:r>
      <w:r w:rsidRPr="00232DFF">
        <w:rPr>
          <w:rFonts w:ascii="仿宋" w:eastAsia="仿宋" w:hAnsi="仿宋" w:hint="eastAsia"/>
          <w:bCs/>
          <w:kern w:val="0"/>
          <w:sz w:val="24"/>
          <w:szCs w:val="24"/>
        </w:rPr>
        <w:t>、日本藏中日关系史料文献整理与研究</w:t>
      </w:r>
    </w:p>
    <w:p w14:paraId="64C8BD65" w14:textId="77777777" w:rsidR="005E4D4B" w:rsidRDefault="005E4D4B"/>
    <w:sectPr w:rsidR="005E4D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7E19" w14:textId="77777777" w:rsidR="0044532B" w:rsidRDefault="0044532B" w:rsidP="00A1555A">
      <w:r>
        <w:separator/>
      </w:r>
    </w:p>
  </w:endnote>
  <w:endnote w:type="continuationSeparator" w:id="0">
    <w:p w14:paraId="7B2BE36D" w14:textId="77777777" w:rsidR="0044532B" w:rsidRDefault="0044532B" w:rsidP="00A1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71E6" w14:textId="77777777" w:rsidR="0044532B" w:rsidRDefault="0044532B" w:rsidP="00A1555A">
      <w:r>
        <w:separator/>
      </w:r>
    </w:p>
  </w:footnote>
  <w:footnote w:type="continuationSeparator" w:id="0">
    <w:p w14:paraId="45F005BA" w14:textId="77777777" w:rsidR="0044532B" w:rsidRDefault="0044532B" w:rsidP="00A1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45969"/>
    <w:multiLevelType w:val="hybridMultilevel"/>
    <w:tmpl w:val="8A369DFC"/>
    <w:lvl w:ilvl="0" w:tplc="0E16B746">
      <w:start w:val="7"/>
      <w:numFmt w:val="decimal"/>
      <w:lvlText w:val="%1、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3E"/>
    <w:rsid w:val="00232DFF"/>
    <w:rsid w:val="0044532B"/>
    <w:rsid w:val="005E4D4B"/>
    <w:rsid w:val="00A1555A"/>
    <w:rsid w:val="00D9593E"/>
    <w:rsid w:val="00E4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75082"/>
  <w15:chartTrackingRefBased/>
  <w15:docId w15:val="{F3057BE7-4CD6-40E0-8AB5-7D83804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55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5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QiTian M620</dc:creator>
  <cp:keywords/>
  <dc:description/>
  <cp:lastModifiedBy>dong ya</cp:lastModifiedBy>
  <cp:revision>3</cp:revision>
  <dcterms:created xsi:type="dcterms:W3CDTF">2022-01-11T02:50:00Z</dcterms:created>
  <dcterms:modified xsi:type="dcterms:W3CDTF">2022-01-17T04:37:00Z</dcterms:modified>
</cp:coreProperties>
</file>