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06" w:rsidRDefault="00507847">
      <w:pPr>
        <w:spacing w:line="600" w:lineRule="exact"/>
        <w:jc w:val="center"/>
        <w:rPr>
          <w:rStyle w:val="2Char"/>
          <w:rFonts w:ascii="方正小标宋简体" w:eastAsia="方正小标宋简体" w:hAnsi="黑体" w:cs="黑体"/>
          <w:b w:val="0"/>
          <w:bCs w:val="0"/>
          <w:sz w:val="36"/>
          <w:szCs w:val="36"/>
        </w:rPr>
      </w:pPr>
      <w:bookmarkStart w:id="0" w:name="_Toc429668906"/>
      <w:r>
        <w:rPr>
          <w:rStyle w:val="2Char"/>
          <w:rFonts w:ascii="方正小标宋简体" w:eastAsia="方正小标宋简体" w:hAnsi="黑体" w:cs="黑体" w:hint="eastAsia"/>
          <w:b w:val="0"/>
          <w:sz w:val="36"/>
          <w:szCs w:val="36"/>
        </w:rPr>
        <w:t>浙江工商大学第七届</w:t>
      </w:r>
      <w:r w:rsidR="00F611F8">
        <w:rPr>
          <w:rStyle w:val="2Char"/>
          <w:rFonts w:ascii="方正小标宋简体" w:eastAsia="方正小标宋简体" w:hAnsi="黑体" w:cs="黑体" w:hint="eastAsia"/>
          <w:b w:val="0"/>
          <w:sz w:val="36"/>
          <w:szCs w:val="36"/>
        </w:rPr>
        <w:t>“互联网+”大学生创新创业大赛</w:t>
      </w:r>
    </w:p>
    <w:p w:rsidR="00C07A06" w:rsidRDefault="00F611F8">
      <w:pPr>
        <w:spacing w:line="600" w:lineRule="exact"/>
        <w:jc w:val="center"/>
        <w:rPr>
          <w:rStyle w:val="2Char"/>
          <w:rFonts w:ascii="方正小标宋简体" w:eastAsia="方正小标宋简体" w:hAnsi="黑体" w:cs="黑体"/>
          <w:b w:val="0"/>
          <w:bCs w:val="0"/>
          <w:sz w:val="36"/>
          <w:szCs w:val="36"/>
        </w:rPr>
      </w:pPr>
      <w:r>
        <w:rPr>
          <w:rStyle w:val="2Char"/>
          <w:rFonts w:ascii="方正小标宋简体" w:eastAsia="方正小标宋简体" w:hAnsi="黑体" w:cs="黑体" w:hint="eastAsia"/>
          <w:b w:val="0"/>
          <w:sz w:val="36"/>
          <w:szCs w:val="36"/>
        </w:rPr>
        <w:t>高教主赛道评审规则</w:t>
      </w:r>
      <w:bookmarkEnd w:id="0"/>
    </w:p>
    <w:p w:rsidR="00C07A06" w:rsidRDefault="00F611F8">
      <w:pPr>
        <w:spacing w:line="560" w:lineRule="exact"/>
        <w:jc w:val="left"/>
        <w:rPr>
          <w:rFonts w:ascii="黑体" w:eastAsia="黑体" w:hAnsi="黑体" w:cs="仿宋_GB2312"/>
          <w:bCs/>
          <w:sz w:val="32"/>
          <w:szCs w:val="32"/>
        </w:rPr>
      </w:pPr>
      <w:r>
        <w:rPr>
          <w:rFonts w:ascii="黑体" w:eastAsia="黑体" w:hAnsi="黑体" w:cs="仿宋_GB2312" w:hint="eastAsia"/>
          <w:bCs/>
          <w:sz w:val="32"/>
          <w:szCs w:val="32"/>
        </w:rPr>
        <w:t>一、高教主赛道创意组项目评审要点</w:t>
      </w:r>
    </w:p>
    <w:tbl>
      <w:tblPr>
        <w:tblStyle w:val="a6"/>
        <w:tblW w:w="10008" w:type="dxa"/>
        <w:jc w:val="center"/>
        <w:tblLayout w:type="fixed"/>
        <w:tblLook w:val="04A0"/>
      </w:tblPr>
      <w:tblGrid>
        <w:gridCol w:w="1645"/>
        <w:gridCol w:w="7513"/>
        <w:gridCol w:w="850"/>
      </w:tblGrid>
      <w:tr w:rsidR="00C07A06">
        <w:trPr>
          <w:jc w:val="center"/>
        </w:trPr>
        <w:tc>
          <w:tcPr>
            <w:tcW w:w="1645"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评审要点</w:t>
            </w:r>
          </w:p>
        </w:tc>
        <w:tc>
          <w:tcPr>
            <w:tcW w:w="7513"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评审内容</w:t>
            </w:r>
          </w:p>
        </w:tc>
        <w:tc>
          <w:tcPr>
            <w:tcW w:w="850"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分值</w:t>
            </w:r>
          </w:p>
        </w:tc>
      </w:tr>
      <w:tr w:rsidR="00C07A06">
        <w:trPr>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创新性</w:t>
            </w:r>
          </w:p>
        </w:tc>
        <w:tc>
          <w:tcPr>
            <w:tcW w:w="7513" w:type="dxa"/>
            <w:vAlign w:val="center"/>
          </w:tcPr>
          <w:p w:rsidR="00C07A06" w:rsidRDefault="00F611F8">
            <w:pPr>
              <w:spacing w:line="400" w:lineRule="exact"/>
              <w:jc w:val="left"/>
              <w:rPr>
                <w:rFonts w:ascii="仿宋_GB2312" w:eastAsia="仿宋_GB2312" w:cs="仿宋_GB2312"/>
                <w:sz w:val="28"/>
                <w:szCs w:val="28"/>
              </w:rPr>
            </w:pP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具有原始创新或技术突破，</w:t>
            </w:r>
            <w:r>
              <w:rPr>
                <w:rFonts w:ascii="仿宋_GB2312" w:eastAsia="仿宋_GB2312" w:hAnsiTheme="majorEastAsia" w:cs="仿宋" w:hint="eastAsia"/>
                <w:sz w:val="28"/>
                <w:szCs w:val="28"/>
              </w:rPr>
              <w:t>取得一定数量和质量的创新成果（专利、创新奖励、行业认可等）。</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cs="仿宋_GB2312"/>
                <w:sz w:val="28"/>
                <w:szCs w:val="28"/>
              </w:rPr>
              <w:t>2.</w:t>
            </w:r>
            <w:r>
              <w:rPr>
                <w:rFonts w:ascii="仿宋_GB2312" w:eastAsia="仿宋_GB2312" w:hAnsiTheme="majorEastAsia" w:cs="仿宋" w:hint="eastAsia"/>
                <w:sz w:val="28"/>
                <w:szCs w:val="28"/>
              </w:rPr>
              <w:t>在商业模式、产品服务、管理运营、市场营销、工艺流程、应用场景等方面取得突破和创新。</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30</w:t>
            </w:r>
          </w:p>
        </w:tc>
      </w:tr>
      <w:tr w:rsidR="00C07A06">
        <w:trPr>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团队情况</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团队成员的教育、实践、工作背景、创新能力、价值观念、分工协作和能力互补情况。</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团队的组织构架、股权结构、人员配置以及激励制度合理性情况。</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创业顾问、投资人以及战略合作伙伴等外部资源的使用以及与项目关系的情况。</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25</w:t>
            </w:r>
          </w:p>
        </w:tc>
      </w:tr>
      <w:tr w:rsidR="00C07A06">
        <w:trPr>
          <w:trHeight w:val="1124"/>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商业性</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商业模式设计完整、可行，项目已具备盈利能力或具有较好的盈利潜力。</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项目在商业机会识别与利用、产品或服务设计、技术基础、竞争与合作、资金及人员计划，以及在现行法律法规限制等方面具有实施的可行性。</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对行业、市场、技术等方面有详实调研，并形成可靠的一手材料，强调实地调查和实践检验。</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4</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项目目标市场容量及市场前景；发展战略和规模扩张策略的合理性和可行性；在财务管理（筹资、投资、营运资金、利润分配等）方面的合理性。</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5</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项目对相关产业升级或颠覆的情况；项目与区域经济发展、产业转型升级相结合情况。</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20</w:t>
            </w:r>
          </w:p>
        </w:tc>
      </w:tr>
      <w:tr w:rsidR="00C07A06">
        <w:trPr>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带动就业</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项目直接提供就业岗位的数量和质量。</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项目间接带动就业的能力和规模。</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15</w:t>
            </w:r>
          </w:p>
        </w:tc>
      </w:tr>
      <w:tr w:rsidR="00C07A06">
        <w:trPr>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引领教育</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1.项目充分体现专业教育与创新创业教育的结合，体现团队成员所学专业知识和技能在项目和相关创新创业活动中的转化与应用。</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2.突出大赛的育人本质，充分体现项目成长对团队成员创新精神、创业意识和创新创业能力的锻炼和提升作用。</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0</w:t>
            </w:r>
          </w:p>
        </w:tc>
      </w:tr>
    </w:tbl>
    <w:p w:rsidR="00C07A06" w:rsidRDefault="00F611F8">
      <w:pPr>
        <w:widowControl/>
      </w:pPr>
      <w:r>
        <w:br w:type="page"/>
      </w:r>
    </w:p>
    <w:p w:rsidR="00C07A06" w:rsidRDefault="00F611F8">
      <w:pPr>
        <w:spacing w:line="560" w:lineRule="exact"/>
        <w:jc w:val="left"/>
        <w:rPr>
          <w:rFonts w:ascii="黑体" w:eastAsia="黑体" w:hAnsi="黑体" w:cs="仿宋_GB2312"/>
          <w:bCs/>
          <w:sz w:val="32"/>
          <w:szCs w:val="32"/>
        </w:rPr>
      </w:pPr>
      <w:r>
        <w:rPr>
          <w:rFonts w:ascii="黑体" w:eastAsia="黑体" w:hAnsi="黑体" w:cs="仿宋_GB2312" w:hint="eastAsia"/>
          <w:bCs/>
          <w:sz w:val="32"/>
          <w:szCs w:val="32"/>
        </w:rPr>
        <w:lastRenderedPageBreak/>
        <w:t>二、高教主赛道初创组、成长组项目评审要点</w:t>
      </w:r>
    </w:p>
    <w:tbl>
      <w:tblPr>
        <w:tblStyle w:val="a6"/>
        <w:tblW w:w="10008" w:type="dxa"/>
        <w:jc w:val="center"/>
        <w:tblLayout w:type="fixed"/>
        <w:tblLook w:val="04A0"/>
      </w:tblPr>
      <w:tblGrid>
        <w:gridCol w:w="1645"/>
        <w:gridCol w:w="7513"/>
        <w:gridCol w:w="850"/>
      </w:tblGrid>
      <w:tr w:rsidR="00C07A06">
        <w:trPr>
          <w:jc w:val="center"/>
        </w:trPr>
        <w:tc>
          <w:tcPr>
            <w:tcW w:w="1645"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评审要点</w:t>
            </w:r>
          </w:p>
        </w:tc>
        <w:tc>
          <w:tcPr>
            <w:tcW w:w="7513"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评审内容</w:t>
            </w:r>
          </w:p>
        </w:tc>
        <w:tc>
          <w:tcPr>
            <w:tcW w:w="850"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分值</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商业性</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商业模式设计完整、可行，产品或服务成熟度及市场认可度。</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经营绩效方面，重点考察项目存续时间、营业收入（合同订单）现状、企业利润、持续盈利能力、市场份额、客户（用户）情况、税收上缴、投入与产出比等情况。</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成长性方面，重点考察项目目标市场容量大小及可扩展性，是否有合适的计划和可靠资源（人力资源、资金、技术等方面）支持其未来持续快速成长。</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4</w:t>
            </w:r>
            <w:r>
              <w:rPr>
                <w:rFonts w:ascii="仿宋_GB2312" w:eastAsia="仿宋_GB2312" w:hAnsiTheme="majorEastAsia" w:cs="仿宋"/>
                <w:sz w:val="28"/>
                <w:szCs w:val="28"/>
              </w:rPr>
              <w:t>.</w:t>
            </w:r>
            <w:r>
              <w:rPr>
                <w:rFonts w:ascii="仿宋_GB2312" w:eastAsia="仿宋_GB2312" w:hAnsiTheme="majorEastAsia" w:cs="仿宋" w:hint="eastAsia"/>
                <w:sz w:val="28"/>
                <w:szCs w:val="28"/>
              </w:rPr>
              <w:t>现金流及融资方面，关注项目已获外部投资情况、维持企业正常经营的现金流情况、企业融资需求及资金使用规划是否合理。</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5.项目对相关产业升级或颠覆的情况；项目与区域经济发展、产业转型升级相结合情况。</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30</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团队情况</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团队成员的教育和工作背景、创新能力、价值观念、分工协作和能力互补情况，重点考察成员的投入程度。</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团队的组织构架、股权结构、人员配置以及激励制度合理性情况。</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创业顾问、投资人以及战略合作伙伴等外部资源的使用以及与项目关系的情况。</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25</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创新性</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具有原始创新或技术突破，取得一定数量和质量的创新成果（专利、创新奖励、行业认可等）。</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在商业模式、产品服务、管理运营、市场营销、工艺流程、应用场景等方面取得突破和创新。</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20</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带动就业</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1.项目直接提供就业岗位的数量和质量。</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2.项目间接带动就业的能力和规模。</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15</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引领教育</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1.项目充分体现专业教育与创新创业教育的结合，体现团队成员所学专业知识和技能在项目和相关创新创业活动中的转化与应用。</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2.突出大赛的育人本质，充分体现项目成长对团队成员创新精神、创业意识和创新创业能力的锻炼和提升作用。</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0</w:t>
            </w:r>
          </w:p>
        </w:tc>
      </w:tr>
    </w:tbl>
    <w:p w:rsidR="00C07A06" w:rsidRDefault="00F611F8">
      <w:pPr>
        <w:widowControl/>
      </w:pPr>
      <w:r>
        <w:br w:type="page"/>
      </w:r>
    </w:p>
    <w:p w:rsidR="00C07A06" w:rsidRDefault="00F611F8">
      <w:pPr>
        <w:spacing w:line="560" w:lineRule="exact"/>
        <w:jc w:val="left"/>
        <w:rPr>
          <w:rFonts w:ascii="黑体" w:eastAsia="黑体" w:hAnsi="黑体" w:cs="仿宋_GB2312"/>
          <w:bCs/>
          <w:sz w:val="32"/>
          <w:szCs w:val="32"/>
        </w:rPr>
      </w:pPr>
      <w:r>
        <w:rPr>
          <w:rFonts w:ascii="黑体" w:eastAsia="黑体" w:hAnsi="黑体" w:cs="仿宋_GB2312" w:hint="eastAsia"/>
          <w:bCs/>
          <w:sz w:val="32"/>
          <w:szCs w:val="32"/>
        </w:rPr>
        <w:lastRenderedPageBreak/>
        <w:t>三、高教主赛道师生共创组项目评审要点</w:t>
      </w:r>
    </w:p>
    <w:tbl>
      <w:tblPr>
        <w:tblStyle w:val="a6"/>
        <w:tblW w:w="10008" w:type="dxa"/>
        <w:jc w:val="center"/>
        <w:tblLayout w:type="fixed"/>
        <w:tblLook w:val="04A0"/>
      </w:tblPr>
      <w:tblGrid>
        <w:gridCol w:w="1645"/>
        <w:gridCol w:w="7513"/>
        <w:gridCol w:w="850"/>
      </w:tblGrid>
      <w:tr w:rsidR="00C07A06">
        <w:trPr>
          <w:jc w:val="center"/>
        </w:trPr>
        <w:tc>
          <w:tcPr>
            <w:tcW w:w="1645"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评审要点</w:t>
            </w:r>
          </w:p>
        </w:tc>
        <w:tc>
          <w:tcPr>
            <w:tcW w:w="7513"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评审内容</w:t>
            </w:r>
          </w:p>
        </w:tc>
        <w:tc>
          <w:tcPr>
            <w:tcW w:w="850"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分值</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商业性</w:t>
            </w:r>
          </w:p>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（未注册公司）</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1.商业模式设计完整、可行，项目已具备盈利能力或具有较好的盈利潜力。</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2.项目在商业机会识别与利用、产品或服务设计、技术基础、竞争与合作、资金及人员计划，以及在现行法律法规限制等方面具有实施的可行性。</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3.对行业、市场、技术等方面有详实调研，并形成可靠的一手材料，强调实地调查和实践检验。</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4.项目目标市场容量及市场前景；发展战略和规模扩张策略的合理性和可行性；在财务管理（筹资、投资、营运资金、利润分配等）方面的合理性。</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5</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项目对相关产业升级或颠覆的情况；项目与区域经济发展、产业转型升级相结合情况。</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30</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商业性（已注册公司）</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1.商业模式设计完整、可行，产品或服务成熟度及市场认可度。</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2.经营绩效方面，重点考察项目存续时间、营业收入（合同订单）现状、企业利润、持续盈利能力、市场份额、客户（用户）情况、税收上缴、投入与产出比等情况。</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3.成长性方面，重点考察项目目标市场容量大小及可扩展性，是否有合适的计划和可靠资源（人力资源、资金、技术等方面）支持其未来持续快速成长。</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4.现金流及融资方面，关注项目已获外部投资情况、维持企业正常经营的现金流情况、企业融资需求及资金使用规划是否合理。</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5</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项目对相关产业升级或颠覆的情况；项目与区域经济发展、产业转型升级相结合情况。</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0</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团队情况</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1.团队成员的教育和工作背景、创新能力、价值观念、分工协作和能力互补情况，重点考察师生分工协作、利益分配情况及合作关系稳定程度。</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项目的组织构架、股权结构、人员配置以及激励制度合理性情况。</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创业顾问、投资人以及战略合作伙伴等外部资源的使用以</w:t>
            </w:r>
            <w:r>
              <w:rPr>
                <w:rFonts w:ascii="仿宋_GB2312" w:eastAsia="仿宋_GB2312" w:hAnsiTheme="majorEastAsia" w:cs="仿宋" w:hint="eastAsia"/>
                <w:sz w:val="28"/>
                <w:szCs w:val="28"/>
              </w:rPr>
              <w:lastRenderedPageBreak/>
              <w:t>及与项目关系的情况。</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lastRenderedPageBreak/>
              <w:t>25</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lastRenderedPageBreak/>
              <w:t>创新性</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具有原始创新或技术突破，取得一定数量和质量的创新成果（专利、创新奖励、行业认可等）。</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sz w:val="28"/>
                <w:szCs w:val="28"/>
              </w:rPr>
              <w:t>2.</w:t>
            </w:r>
            <w:r>
              <w:rPr>
                <w:rFonts w:ascii="仿宋_GB2312" w:eastAsia="仿宋_GB2312" w:hAnsiTheme="majorEastAsia" w:cs="仿宋" w:hint="eastAsia"/>
                <w:sz w:val="28"/>
                <w:szCs w:val="28"/>
              </w:rPr>
              <w:t>在商业模式、产品服务、管理运营、市场营销、工艺流程、应用场景等方面取得突破和创新。</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20</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带动就业</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1.项目直接提供就业岗位的数量和质量。</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2.项目间接带动就业的能力和规模。</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15</w:t>
            </w:r>
          </w:p>
        </w:tc>
      </w:tr>
      <w:tr w:rsidR="00C07A06">
        <w:trPr>
          <w:trHeight w:val="57"/>
          <w:jc w:val="center"/>
        </w:trPr>
        <w:tc>
          <w:tcPr>
            <w:tcW w:w="1645"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引领教育</w:t>
            </w:r>
          </w:p>
        </w:tc>
        <w:tc>
          <w:tcPr>
            <w:tcW w:w="7513" w:type="dxa"/>
            <w:vAlign w:val="center"/>
          </w:tcPr>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1.项目充分体现专业教育与创新创业教育的结合，体现团队成员所学专业知识和技能在项目和相关创新创业活动中的转化与应用。</w:t>
            </w:r>
          </w:p>
          <w:p w:rsidR="00C07A06" w:rsidRDefault="00F611F8">
            <w:pPr>
              <w:spacing w:line="42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2.突出大赛的育人本质，充分体现项目成长对团队成员创新精神、创业意识和创新创业能力的锻炼和提升作用。</w:t>
            </w:r>
          </w:p>
        </w:tc>
        <w:tc>
          <w:tcPr>
            <w:tcW w:w="850" w:type="dxa"/>
            <w:vAlign w:val="center"/>
          </w:tcPr>
          <w:p w:rsidR="00C07A06" w:rsidRDefault="00F611F8">
            <w:pPr>
              <w:spacing w:line="42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0</w:t>
            </w:r>
          </w:p>
        </w:tc>
      </w:tr>
    </w:tbl>
    <w:p w:rsidR="00C07A06" w:rsidRDefault="00C07A06"/>
    <w:p w:rsidR="00C07A06" w:rsidRDefault="00F611F8">
      <w:pPr>
        <w:widowControl/>
      </w:pPr>
      <w:r>
        <w:br w:type="page"/>
      </w:r>
    </w:p>
    <w:p w:rsidR="00C07A06" w:rsidRDefault="00F611F8">
      <w:pPr>
        <w:spacing w:line="600" w:lineRule="exact"/>
        <w:jc w:val="center"/>
        <w:rPr>
          <w:rStyle w:val="2Char"/>
          <w:rFonts w:ascii="方正小标宋简体" w:eastAsia="方正小标宋简体" w:hAnsi="黑体" w:cs="黑体"/>
          <w:b w:val="0"/>
          <w:bCs w:val="0"/>
          <w:sz w:val="36"/>
          <w:szCs w:val="36"/>
        </w:rPr>
      </w:pPr>
      <w:r>
        <w:rPr>
          <w:rStyle w:val="2Char"/>
          <w:rFonts w:ascii="方正小标宋简体" w:eastAsia="方正小标宋简体" w:hAnsi="黑体" w:cs="黑体" w:hint="eastAsia"/>
          <w:b w:val="0"/>
          <w:sz w:val="36"/>
          <w:szCs w:val="36"/>
        </w:rPr>
        <w:lastRenderedPageBreak/>
        <w:t>红旅赛道评审规则</w:t>
      </w:r>
    </w:p>
    <w:p w:rsidR="00C07A06" w:rsidRDefault="00F611F8">
      <w:pPr>
        <w:spacing w:line="560" w:lineRule="exact"/>
        <w:jc w:val="left"/>
        <w:rPr>
          <w:rFonts w:ascii="黑体" w:eastAsia="黑体" w:hAnsi="黑体" w:cs="仿宋_GB2312"/>
          <w:bCs/>
          <w:sz w:val="32"/>
          <w:szCs w:val="32"/>
        </w:rPr>
      </w:pPr>
      <w:r>
        <w:rPr>
          <w:rFonts w:ascii="黑体" w:eastAsia="黑体" w:hAnsi="黑体" w:cs="仿宋_GB2312" w:hint="eastAsia"/>
          <w:bCs/>
          <w:sz w:val="32"/>
          <w:szCs w:val="32"/>
        </w:rPr>
        <w:t>一、红旅赛道公益组项目</w:t>
      </w:r>
      <w:r>
        <w:rPr>
          <w:rFonts w:ascii="黑体" w:eastAsia="黑体" w:hAnsi="黑体" w:cs="仿宋_GB2312"/>
          <w:bCs/>
          <w:sz w:val="32"/>
          <w:szCs w:val="32"/>
        </w:rPr>
        <w:t>评审</w:t>
      </w:r>
      <w:r>
        <w:rPr>
          <w:rFonts w:ascii="黑体" w:eastAsia="黑体" w:hAnsi="黑体" w:cs="仿宋_GB2312" w:hint="eastAsia"/>
          <w:bCs/>
          <w:sz w:val="32"/>
          <w:szCs w:val="32"/>
        </w:rPr>
        <w:t>要点</w:t>
      </w:r>
    </w:p>
    <w:tbl>
      <w:tblPr>
        <w:tblStyle w:val="a6"/>
        <w:tblW w:w="10008" w:type="dxa"/>
        <w:jc w:val="center"/>
        <w:tblLayout w:type="fixed"/>
        <w:tblLook w:val="04A0"/>
      </w:tblPr>
      <w:tblGrid>
        <w:gridCol w:w="1645"/>
        <w:gridCol w:w="7513"/>
        <w:gridCol w:w="850"/>
      </w:tblGrid>
      <w:tr w:rsidR="00C07A06">
        <w:trPr>
          <w:jc w:val="center"/>
        </w:trPr>
        <w:tc>
          <w:tcPr>
            <w:tcW w:w="1645"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评审要点</w:t>
            </w:r>
          </w:p>
        </w:tc>
        <w:tc>
          <w:tcPr>
            <w:tcW w:w="7513"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评审内容</w:t>
            </w:r>
          </w:p>
        </w:tc>
        <w:tc>
          <w:tcPr>
            <w:tcW w:w="850"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分值</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项目团队</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团队成员的基本素质、业务能力、奉献意愿和价值观与项目需求相匹配。</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团队的组织架构与分工协作合理。</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团队权益结构或公司股权结构合理。</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4</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团队的延续性或接替性。</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20</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公益性</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项目以社会价值为导向，以解决社会问题为使命，不以营利为目的，有可预见的公益成果，公益受众的覆盖面广。</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在公益服务领域有良好产品或服务模式。</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20</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实效性</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项目对精准扶贫、乡村振兴和社区治理等社会问题的贡献度。</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在引入社会资源方面对农村组织和农民增收、地方产业结构优化等的效果。</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项目对促进就业、教育、医疗、养老、环境保护与生态建设等方面的效果。</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20</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创新性</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鼓励技术或服务创新、引入或运用新技术，鼓励高校科研成果转化。</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鼓励组织模式创新或进行资源整合。</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20</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可持续性</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项目的持续生存能力。</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创新研发、生产销售、资源整合等持续运营能力。</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项目模式可复制、可推广、具有示范效应等。</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10</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引领教育</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1.项目充分体现专业教育与创新创业教育的结合，体现团队成员所学专业知识和技能在项目和相关创新创业活动中的转化与应用。</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2.突出大赛的育人本质，充分体现项目成长对团队成员创新精神、创业意识和创新创业能力的锻炼和提升作用。</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10</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必要条件</w:t>
            </w:r>
          </w:p>
        </w:tc>
        <w:tc>
          <w:tcPr>
            <w:tcW w:w="8363" w:type="dxa"/>
            <w:gridSpan w:val="2"/>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参加由学校、省市或全国组织的“青年红色筑梦之旅”活动，符合公益性要求。</w:t>
            </w:r>
          </w:p>
        </w:tc>
      </w:tr>
    </w:tbl>
    <w:p w:rsidR="00C07A06" w:rsidRDefault="00C07A06"/>
    <w:p w:rsidR="00C07A06" w:rsidRDefault="00F611F8">
      <w:pPr>
        <w:widowControl/>
      </w:pPr>
      <w:r>
        <w:br w:type="page"/>
      </w:r>
    </w:p>
    <w:p w:rsidR="00C07A06" w:rsidRDefault="00F611F8">
      <w:pPr>
        <w:spacing w:line="560" w:lineRule="exact"/>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二、红旅赛道商业组项目</w:t>
      </w:r>
      <w:r>
        <w:rPr>
          <w:rFonts w:ascii="黑体" w:eastAsia="黑体" w:hAnsi="黑体" w:cs="仿宋_GB2312"/>
          <w:bCs/>
          <w:sz w:val="32"/>
          <w:szCs w:val="32"/>
        </w:rPr>
        <w:t>评审</w:t>
      </w:r>
      <w:r>
        <w:rPr>
          <w:rFonts w:ascii="黑体" w:eastAsia="黑体" w:hAnsi="黑体" w:cs="仿宋_GB2312" w:hint="eastAsia"/>
          <w:bCs/>
          <w:sz w:val="32"/>
          <w:szCs w:val="32"/>
        </w:rPr>
        <w:t>要点</w:t>
      </w:r>
    </w:p>
    <w:tbl>
      <w:tblPr>
        <w:tblStyle w:val="a6"/>
        <w:tblW w:w="10008" w:type="dxa"/>
        <w:jc w:val="center"/>
        <w:tblLayout w:type="fixed"/>
        <w:tblLook w:val="04A0"/>
      </w:tblPr>
      <w:tblGrid>
        <w:gridCol w:w="1645"/>
        <w:gridCol w:w="7513"/>
        <w:gridCol w:w="850"/>
      </w:tblGrid>
      <w:tr w:rsidR="00C07A06">
        <w:trPr>
          <w:jc w:val="center"/>
        </w:trPr>
        <w:tc>
          <w:tcPr>
            <w:tcW w:w="1645"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评审要点</w:t>
            </w:r>
          </w:p>
        </w:tc>
        <w:tc>
          <w:tcPr>
            <w:tcW w:w="7513"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评审内容</w:t>
            </w:r>
          </w:p>
        </w:tc>
        <w:tc>
          <w:tcPr>
            <w:tcW w:w="850" w:type="dxa"/>
            <w:vAlign w:val="center"/>
          </w:tcPr>
          <w:p w:rsidR="00C07A06" w:rsidRDefault="00F611F8">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分值</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项目团队</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团队成员的基本素质、业务能力、奉献意愿和价值观与项目需求相匹配。</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团队的组织架构与分工协作合理。</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团队权益结构或公司股权结构合理。</w:t>
            </w:r>
          </w:p>
        </w:tc>
        <w:tc>
          <w:tcPr>
            <w:tcW w:w="850"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20</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实效性</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项目商业模式设计完整、可行，产品或服务对精准扶贫、乡村振兴和社区治理等社会问题的贡献度。</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在引入社会资源方面对农村组织和农民增收、地方产业结构优化的效果。</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项目对促进文化、教育、医疗、养老、环境保护与生态建设等方面的效果。</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4.项目的成长性与区域经济发展、产业转型升级相结合。</w:t>
            </w:r>
          </w:p>
        </w:tc>
        <w:tc>
          <w:tcPr>
            <w:tcW w:w="850" w:type="dxa"/>
            <w:vAlign w:val="center"/>
          </w:tcPr>
          <w:p w:rsidR="00C07A06" w:rsidRDefault="00F611F8">
            <w:pPr>
              <w:widowControl/>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20</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创新性</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鼓励技术或服务创新、引入或运用新技术，鼓励高校科研成果转化。</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鼓励在生产、服务、营销等方面创新。</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鼓励组织模式创新或进行资源整合。</w:t>
            </w:r>
          </w:p>
        </w:tc>
        <w:tc>
          <w:tcPr>
            <w:tcW w:w="850" w:type="dxa"/>
            <w:vAlign w:val="center"/>
          </w:tcPr>
          <w:p w:rsidR="00C07A06" w:rsidRDefault="00F611F8">
            <w:pPr>
              <w:widowControl/>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20</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可持续性</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项目的持续生存能力。</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经济价值和社会价值适度融合。</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创新研发、生产销售、资源整合等持续运营能力。</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4</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项目模式可复制、可推广，具有示范效应。</w:t>
            </w:r>
          </w:p>
        </w:tc>
        <w:tc>
          <w:tcPr>
            <w:tcW w:w="850" w:type="dxa"/>
            <w:vAlign w:val="center"/>
          </w:tcPr>
          <w:p w:rsidR="00C07A06" w:rsidRDefault="00F611F8">
            <w:pPr>
              <w:widowControl/>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15</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带动就业</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1.项目直接提供就业岗位的数量和质量。</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2.项目间接带动就业的能力和规模。</w:t>
            </w:r>
          </w:p>
        </w:tc>
        <w:tc>
          <w:tcPr>
            <w:tcW w:w="850" w:type="dxa"/>
            <w:vAlign w:val="center"/>
          </w:tcPr>
          <w:p w:rsidR="00C07A06" w:rsidRDefault="00F611F8">
            <w:pPr>
              <w:widowControl/>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15</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引领教育</w:t>
            </w:r>
          </w:p>
        </w:tc>
        <w:tc>
          <w:tcPr>
            <w:tcW w:w="7513" w:type="dxa"/>
            <w:vAlign w:val="center"/>
          </w:tcPr>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1.项目充分体现专业教育与创新创业教育的结合，体现团队成员所学专业知识和技能在项目和相关创新创业活动中的转化与应用。</w:t>
            </w:r>
          </w:p>
          <w:p w:rsidR="00C07A06" w:rsidRDefault="00F611F8">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2.突出大赛的育人本质，充分体现项目成长对团队成员创新精神、创业意识和创新创业能力的锻炼和提升作用。</w:t>
            </w:r>
          </w:p>
        </w:tc>
        <w:tc>
          <w:tcPr>
            <w:tcW w:w="850" w:type="dxa"/>
            <w:vAlign w:val="center"/>
          </w:tcPr>
          <w:p w:rsidR="00C07A06" w:rsidRDefault="00F611F8">
            <w:pPr>
              <w:widowControl/>
              <w:snapToGrid w:val="0"/>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0</w:t>
            </w:r>
          </w:p>
        </w:tc>
      </w:tr>
      <w:tr w:rsidR="00C07A06">
        <w:trPr>
          <w:trHeight w:val="57"/>
          <w:jc w:val="center"/>
        </w:trPr>
        <w:tc>
          <w:tcPr>
            <w:tcW w:w="1645" w:type="dxa"/>
            <w:vAlign w:val="center"/>
          </w:tcPr>
          <w:p w:rsidR="00C07A06" w:rsidRDefault="00F611F8">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必要条件</w:t>
            </w:r>
          </w:p>
        </w:tc>
        <w:tc>
          <w:tcPr>
            <w:tcW w:w="8363" w:type="dxa"/>
            <w:gridSpan w:val="2"/>
            <w:vAlign w:val="center"/>
          </w:tcPr>
          <w:p w:rsidR="00C07A06" w:rsidRDefault="00F611F8">
            <w:pPr>
              <w:widowControl/>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参加由学校、省市或全国组织的“青年红色筑梦之旅”活动。</w:t>
            </w:r>
          </w:p>
        </w:tc>
      </w:tr>
    </w:tbl>
    <w:p w:rsidR="00C07A06" w:rsidRDefault="00C07A06"/>
    <w:p w:rsidR="00C07A06" w:rsidRDefault="00C07A06">
      <w:pPr>
        <w:widowControl/>
      </w:pPr>
    </w:p>
    <w:sectPr w:rsidR="00C07A06" w:rsidSect="00C07A06">
      <w:footerReference w:type="default" r:id="rId7"/>
      <w:pgSz w:w="11906" w:h="16838"/>
      <w:pgMar w:top="851" w:right="1797" w:bottom="1276" w:left="179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A2A" w:rsidRDefault="00506A2A" w:rsidP="00C07A06">
      <w:r>
        <w:separator/>
      </w:r>
    </w:p>
  </w:endnote>
  <w:endnote w:type="continuationSeparator" w:id="1">
    <w:p w:rsidR="00506A2A" w:rsidRDefault="00506A2A" w:rsidP="00C07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74277"/>
      <w:docPartObj>
        <w:docPartGallery w:val="AutoText"/>
      </w:docPartObj>
    </w:sdtPr>
    <w:sdtContent>
      <w:p w:rsidR="00C07A06" w:rsidRDefault="00DC742B">
        <w:pPr>
          <w:pStyle w:val="a4"/>
          <w:jc w:val="center"/>
        </w:pPr>
        <w:r>
          <w:fldChar w:fldCharType="begin"/>
        </w:r>
        <w:r w:rsidR="00F611F8">
          <w:instrText>PAGE   \* MERGEFORMAT</w:instrText>
        </w:r>
        <w:r>
          <w:fldChar w:fldCharType="separate"/>
        </w:r>
        <w:r w:rsidR="00507847" w:rsidRPr="00507847">
          <w:rPr>
            <w:noProof/>
            <w:lang w:val="zh-CN"/>
          </w:rPr>
          <w:t>1</w:t>
        </w:r>
        <w:r>
          <w:fldChar w:fldCharType="end"/>
        </w:r>
      </w:p>
    </w:sdtContent>
  </w:sdt>
  <w:p w:rsidR="00C07A06" w:rsidRDefault="00C07A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A2A" w:rsidRDefault="00506A2A" w:rsidP="00C07A06">
      <w:r>
        <w:separator/>
      </w:r>
    </w:p>
  </w:footnote>
  <w:footnote w:type="continuationSeparator" w:id="1">
    <w:p w:rsidR="00506A2A" w:rsidRDefault="00506A2A" w:rsidP="00C07A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6CA"/>
    <w:rsid w:val="0004797E"/>
    <w:rsid w:val="00096800"/>
    <w:rsid w:val="00236552"/>
    <w:rsid w:val="00317397"/>
    <w:rsid w:val="00365EA0"/>
    <w:rsid w:val="0041786A"/>
    <w:rsid w:val="0044765E"/>
    <w:rsid w:val="00450DAD"/>
    <w:rsid w:val="0049506A"/>
    <w:rsid w:val="00506A2A"/>
    <w:rsid w:val="00507847"/>
    <w:rsid w:val="007116AC"/>
    <w:rsid w:val="007250F1"/>
    <w:rsid w:val="007C5438"/>
    <w:rsid w:val="008936CA"/>
    <w:rsid w:val="008C4B1A"/>
    <w:rsid w:val="00923F02"/>
    <w:rsid w:val="009C43F1"/>
    <w:rsid w:val="009D29EF"/>
    <w:rsid w:val="00A84684"/>
    <w:rsid w:val="00A97A8A"/>
    <w:rsid w:val="00AE2509"/>
    <w:rsid w:val="00B021DA"/>
    <w:rsid w:val="00B75B50"/>
    <w:rsid w:val="00BF1554"/>
    <w:rsid w:val="00C07A06"/>
    <w:rsid w:val="00CD5865"/>
    <w:rsid w:val="00DC742B"/>
    <w:rsid w:val="00E334BB"/>
    <w:rsid w:val="00F611F8"/>
    <w:rsid w:val="00F707DC"/>
    <w:rsid w:val="557D4A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06"/>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unhideWhenUsed/>
    <w:qFormat/>
    <w:rsid w:val="00C07A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7A06"/>
    <w:rPr>
      <w:sz w:val="18"/>
      <w:szCs w:val="18"/>
    </w:rPr>
  </w:style>
  <w:style w:type="paragraph" w:styleId="a4">
    <w:name w:val="footer"/>
    <w:basedOn w:val="a"/>
    <w:link w:val="Char0"/>
    <w:uiPriority w:val="99"/>
    <w:unhideWhenUsed/>
    <w:rsid w:val="00C07A06"/>
    <w:pPr>
      <w:tabs>
        <w:tab w:val="center" w:pos="4153"/>
        <w:tab w:val="right" w:pos="8306"/>
      </w:tabs>
      <w:snapToGrid w:val="0"/>
      <w:jc w:val="left"/>
    </w:pPr>
    <w:rPr>
      <w:sz w:val="18"/>
      <w:szCs w:val="18"/>
    </w:rPr>
  </w:style>
  <w:style w:type="paragraph" w:styleId="a5">
    <w:name w:val="header"/>
    <w:basedOn w:val="a"/>
    <w:link w:val="Char1"/>
    <w:uiPriority w:val="99"/>
    <w:unhideWhenUsed/>
    <w:rsid w:val="00C07A06"/>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C07A06"/>
    <w:rPr>
      <w:rFonts w:eastAsia="宋体" w:cs="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sid w:val="00C07A06"/>
    <w:rPr>
      <w:rFonts w:asciiTheme="majorHAnsi" w:eastAsiaTheme="majorEastAsia" w:hAnsiTheme="majorHAnsi" w:cstheme="majorBidi"/>
      <w:b/>
      <w:bCs/>
      <w:szCs w:val="32"/>
    </w:rPr>
  </w:style>
  <w:style w:type="character" w:customStyle="1" w:styleId="Char1">
    <w:name w:val="页眉 Char"/>
    <w:basedOn w:val="a0"/>
    <w:link w:val="a5"/>
    <w:uiPriority w:val="99"/>
    <w:rsid w:val="00C07A06"/>
    <w:rPr>
      <w:rFonts w:ascii="Calibri" w:eastAsia="宋体" w:hAnsi="Calibri" w:cs="Times New Roman"/>
      <w:sz w:val="18"/>
      <w:szCs w:val="18"/>
    </w:rPr>
  </w:style>
  <w:style w:type="character" w:customStyle="1" w:styleId="Char0">
    <w:name w:val="页脚 Char"/>
    <w:basedOn w:val="a0"/>
    <w:link w:val="a4"/>
    <w:uiPriority w:val="99"/>
    <w:rsid w:val="00C07A06"/>
    <w:rPr>
      <w:rFonts w:ascii="Calibri" w:eastAsia="宋体" w:hAnsi="Calibri" w:cs="Times New Roman"/>
      <w:sz w:val="18"/>
      <w:szCs w:val="18"/>
    </w:rPr>
  </w:style>
  <w:style w:type="character" w:customStyle="1" w:styleId="Char">
    <w:name w:val="批注框文本 Char"/>
    <w:basedOn w:val="a0"/>
    <w:link w:val="a3"/>
    <w:uiPriority w:val="99"/>
    <w:semiHidden/>
    <w:rsid w:val="00C07A0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548</Words>
  <Characters>3126</Characters>
  <Application>Microsoft Office Word</Application>
  <DocSecurity>0</DocSecurity>
  <Lines>26</Lines>
  <Paragraphs>7</Paragraphs>
  <ScaleCrop>false</ScaleCrop>
  <Company>scut</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lenovo</cp:lastModifiedBy>
  <cp:revision>4</cp:revision>
  <dcterms:created xsi:type="dcterms:W3CDTF">2021-03-10T08:03:00Z</dcterms:created>
  <dcterms:modified xsi:type="dcterms:W3CDTF">2021-03-18T04:27:00Z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